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b306372e1210f8d8215104d854172aed7959f0"/>
    <w:p>
      <w:pPr>
        <w:pStyle w:val="Heading1"/>
      </w:pPr>
      <w:r>
        <w:t xml:space="preserve">Руководство по составлению каталога лотов СХД</w:t>
      </w:r>
    </w:p>
    <w:bookmarkStart w:id="9" w:name="что-такое-lot-и-зачем-он-нужен"/>
    <w:p>
      <w:pPr>
        <w:pStyle w:val="Heading2"/>
      </w:pPr>
      <w:r>
        <w:t xml:space="preserve">Что такое LOT и зачем он нужен</w:t>
      </w:r>
    </w:p>
    <w:p>
      <w:pPr>
        <w:pStyle w:val="FirstParagraph"/>
      </w:pPr>
      <w:r>
        <w:t xml:space="preserve">LOT — это внутренний идентификатор типа компонента в системе QuoteForge.</w:t>
      </w:r>
    </w:p>
    <w:p>
      <w:pPr>
        <w:pStyle w:val="BodyText"/>
      </w:pPr>
      <w:r>
        <w:t xml:space="preserve">Каждый LOT представляет одну рыночную позицию и хранит</w:t>
      </w:r>
      <w:r>
        <w:t xml:space="preserve"> </w:t>
      </w:r>
      <w:r>
        <w:rPr>
          <w:b/>
          <w:bCs/>
        </w:rPr>
        <w:t xml:space="preserve">средневзвешенную рыночную цену</w:t>
      </w:r>
      <w:r>
        <w:t xml:space="preserve">, рассчитанную по историческим данным от поставщиков. Это позволяет получать актуальную оценку стоимости независимо от конкретного поставщика или прайс-листа.</w:t>
      </w:r>
    </w:p>
    <w:p>
      <w:pPr>
        <w:pStyle w:val="BodyText"/>
      </w:pPr>
      <w:r>
        <w:t xml:space="preserve">Партномера вендора (Part Number, Feature Code) сами по себе не имеют цены в системе — они</w:t>
      </w:r>
      <w:r>
        <w:t xml:space="preserve"> </w:t>
      </w:r>
      <w:r>
        <w:rPr>
          <w:b/>
          <w:bCs/>
        </w:rPr>
        <w:t xml:space="preserve">переводятся в LOT</w:t>
      </w:r>
      <w:r>
        <w:t xml:space="preserve"> </w:t>
      </w:r>
      <w:r>
        <w:t xml:space="preserve">через книгу партномеров. Именно через LOT происходит расценка конфигурации.</w:t>
      </w:r>
    </w:p>
    <w:p>
      <w:pPr>
        <w:pStyle w:val="BodyText"/>
      </w:pPr>
      <w:r>
        <w:rPr>
          <w:b/>
          <w:bCs/>
        </w:rPr>
        <w:t xml:space="preserve">Пример:</w:t>
      </w:r>
      <w:r>
        <w:t xml:space="preserve"> </w:t>
      </w:r>
      <w:r>
        <w:t xml:space="preserve">Feature Code</w:t>
      </w:r>
      <w:r>
        <w:t xml:space="preserve"> </w:t>
      </w:r>
      <w:r>
        <w:rPr>
          <w:rStyle w:val="VerbatimChar"/>
        </w:rPr>
        <w:t xml:space="preserve">B4B9</w:t>
      </w:r>
      <w:r>
        <w:t xml:space="preserve"> </w:t>
      </w:r>
      <w:r>
        <w:t xml:space="preserve">и Part Number</w:t>
      </w:r>
      <w:r>
        <w:t xml:space="preserve"> </w:t>
      </w:r>
      <w:r>
        <w:rPr>
          <w:rStyle w:val="VerbatimChar"/>
        </w:rPr>
        <w:t xml:space="preserve">4C57A14368</w:t>
      </w:r>
      <w:r>
        <w:t xml:space="preserve"> </w:t>
      </w:r>
      <w:r>
        <w:t xml:space="preserve">— это два разных обозначения одной и той же HIC-карты от Lenovo. Оба маппируются на один LOT</w:t>
      </w:r>
      <w:r>
        <w:t xml:space="preserve"> </w:t>
      </w:r>
      <w:r>
        <w:rPr>
          <w:rStyle w:val="VerbatimChar"/>
        </w:rPr>
        <w:t xml:space="preserve">HIC_4pFC32</w:t>
      </w:r>
      <w:r>
        <w:t xml:space="preserve">, у которого есть рыночная цена.</w:t>
      </w:r>
    </w:p>
    <w:p>
      <w:r>
        <w:pict>
          <v:rect style="width:0;height:1.5pt" o:hralign="center" o:hrstd="t" o:hr="t"/>
        </w:pict>
      </w:r>
    </w:p>
    <w:bookmarkEnd w:id="9"/>
    <w:bookmarkStart w:id="10" w:name="категории-и-вкладки-конфигуратора"/>
    <w:p>
      <w:pPr>
        <w:pStyle w:val="Heading2"/>
      </w:pPr>
      <w:r>
        <w:t xml:space="preserve">Категории и вкладки конфигуратора</w:t>
      </w:r>
    </w:p>
    <w:p>
      <w:pPr>
        <w:pStyle w:val="FirstParagraph"/>
      </w:pPr>
      <w:r>
        <w:t xml:space="preserve">Категория LOT определяет, в какой вкладке конфигуратора он появится.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Код категории</w:t>
            </w:r>
          </w:p>
        </w:tc>
        <w:tc>
          <w:tcPr/>
          <w:p>
            <w:pPr>
              <w:pStyle w:val="Compact"/>
            </w:pPr>
            <w:r>
              <w:t xml:space="preserve">Название</w:t>
            </w:r>
          </w:p>
        </w:tc>
        <w:tc>
          <w:tcPr/>
          <w:p>
            <w:pPr>
              <w:pStyle w:val="Compact"/>
            </w:pPr>
            <w:r>
              <w:t xml:space="preserve">Вкладка</w:t>
            </w:r>
          </w:p>
        </w:tc>
        <w:tc>
          <w:tcPr/>
          <w:p>
            <w:pPr>
              <w:pStyle w:val="Compact"/>
            </w:pPr>
            <w:r>
              <w:t xml:space="preserve">Что сюда относится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ENC</w:t>
            </w:r>
          </w:p>
        </w:tc>
        <w:tc>
          <w:tcPr/>
          <w:p>
            <w:pPr>
              <w:pStyle w:val="Compact"/>
            </w:pPr>
            <w:r>
              <w:t xml:space="preserve">Storage Enclosure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Base</w:t>
            </w:r>
          </w:p>
        </w:tc>
        <w:tc>
          <w:tcPr/>
          <w:p>
            <w:pPr>
              <w:pStyle w:val="Compact"/>
            </w:pPr>
            <w:r>
              <w:t xml:space="preserve">Дисковая полка без контроллера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</w:t>
            </w:r>
          </w:p>
        </w:tc>
        <w:tc>
          <w:tcPr/>
          <w:p>
            <w:pPr>
              <w:pStyle w:val="Compact"/>
            </w:pPr>
            <w:r>
              <w:t xml:space="preserve">Disk/Controller Enclosure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Base</w:t>
            </w:r>
          </w:p>
        </w:tc>
        <w:tc>
          <w:tcPr/>
          <w:p>
            <w:pPr>
              <w:pStyle w:val="Compact"/>
            </w:pPr>
            <w:r>
              <w:t xml:space="preserve">Контроллерная полка: модель СХД + тип дисков + кол-во слотов + кол-во контроллеров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</w:t>
            </w:r>
          </w:p>
        </w:tc>
        <w:tc>
          <w:tcPr/>
          <w:p>
            <w:pPr>
              <w:pStyle w:val="Compact"/>
            </w:pPr>
            <w:r>
              <w:t xml:space="preserve">Storage Controller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Base</w:t>
            </w:r>
          </w:p>
        </w:tc>
        <w:tc>
          <w:tcPr/>
          <w:p>
            <w:pPr>
              <w:pStyle w:val="Compact"/>
            </w:pPr>
            <w:r>
              <w:t xml:space="preserve">Контроллер СХД: объём кэша + встроенные хост-порты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</w:t>
            </w:r>
          </w:p>
        </w:tc>
        <w:tc>
          <w:tcPr/>
          <w:p>
            <w:pPr>
              <w:pStyle w:val="Compact"/>
            </w:pPr>
            <w:r>
              <w:t xml:space="preserve">Host Interface Card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PCI</w:t>
            </w:r>
          </w:p>
        </w:tc>
        <w:tc>
          <w:tcPr/>
          <w:p>
            <w:pPr>
              <w:pStyle w:val="Compact"/>
            </w:pPr>
            <w:r>
              <w:t xml:space="preserve">HIC-карты СХД: интерфейсы подключения (FC, iSCSI, SAS)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</w:t>
            </w:r>
          </w:p>
        </w:tc>
        <w:tc>
          <w:tcPr/>
          <w:p>
            <w:pPr>
              <w:pStyle w:val="Compact"/>
            </w:pPr>
            <w:r>
              <w:t xml:space="preserve">HDD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Storage</w:t>
            </w:r>
          </w:p>
        </w:tc>
        <w:tc>
          <w:tcPr/>
          <w:p>
            <w:pPr>
              <w:pStyle w:val="Compact"/>
            </w:pPr>
            <w:r>
              <w:t xml:space="preserve">Жёсткие диски (HDD)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</w:t>
            </w:r>
          </w:p>
        </w:tc>
        <w:tc>
          <w:tcPr/>
          <w:p>
            <w:pPr>
              <w:pStyle w:val="Compact"/>
            </w:pPr>
            <w:r>
              <w:t xml:space="preserve">SSD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Storage</w:t>
            </w:r>
          </w:p>
        </w:tc>
        <w:tc>
          <w:tcPr/>
          <w:p>
            <w:pPr>
              <w:pStyle w:val="Compact"/>
            </w:pPr>
            <w:r>
              <w:t xml:space="preserve">Твердотельные диски (SSD, NVMe)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</w:t>
            </w:r>
          </w:p>
        </w:tc>
        <w:tc>
          <w:tcPr/>
          <w:p>
            <w:pPr>
              <w:pStyle w:val="Compact"/>
            </w:pPr>
            <w:r>
              <w:t xml:space="preserve">Accessories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Accessories</w:t>
            </w:r>
          </w:p>
        </w:tc>
        <w:tc>
          <w:tcPr/>
          <w:p>
            <w:pPr>
              <w:pStyle w:val="Compact"/>
            </w:pPr>
            <w:r>
              <w:t xml:space="preserve">Кабели подключения, кабели питания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</w:t>
            </w:r>
          </w:p>
        </w:tc>
        <w:tc>
          <w:tcPr/>
          <w:p>
            <w:pPr>
              <w:pStyle w:val="Compact"/>
            </w:pPr>
            <w:r>
              <w:t xml:space="preserve">Software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SW</w:t>
            </w:r>
          </w:p>
        </w:tc>
        <w:tc>
          <w:tcPr/>
          <w:p>
            <w:pPr>
              <w:pStyle w:val="Compact"/>
            </w:pPr>
            <w:r>
              <w:t xml:space="preserve">Программные лицензии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(прочее)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Гарантийные опции, инсталляция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0"/>
    <w:bookmarkStart w:id="17" w:name="правила-именования-lot"/>
    <w:p>
      <w:pPr>
        <w:pStyle w:val="Heading2"/>
      </w:pPr>
      <w:r>
        <w:t xml:space="preserve">Правила именования LOT</w:t>
      </w:r>
    </w:p>
    <w:p>
      <w:pPr>
        <w:pStyle w:val="FirstParagraph"/>
      </w:pPr>
      <w:r>
        <w:t xml:space="preserve">Формат:</w:t>
      </w:r>
      <w:r>
        <w:t xml:space="preserve"> </w:t>
      </w:r>
      <w:r>
        <w:rPr>
          <w:rStyle w:val="VerbatimChar"/>
        </w:rPr>
        <w:t xml:space="preserve">КАТЕГОРИЯ_МОДЕЛЬСХД_СПЕЦИФИКА</w:t>
      </w:r>
    </w:p>
    <w:p>
      <w:pPr>
        <w:pStyle w:val="Compact"/>
        <w:numPr>
          <w:ilvl w:val="0"/>
          <w:numId w:val="1001"/>
        </w:numPr>
      </w:pPr>
      <w:r>
        <w:t xml:space="preserve">только латиница, цифры и знак</w:t>
      </w:r>
      <w:r>
        <w:t xml:space="preserve"> </w:t>
      </w:r>
      <w:r>
        <w:rPr>
          <w:rStyle w:val="VerbatimChar"/>
        </w:rPr>
        <w:t xml:space="preserve">_</w:t>
      </w:r>
    </w:p>
    <w:p>
      <w:pPr>
        <w:pStyle w:val="Compact"/>
        <w:numPr>
          <w:ilvl w:val="0"/>
          <w:numId w:val="1001"/>
        </w:numPr>
      </w:pPr>
      <w:r>
        <w:t xml:space="preserve">регистр — ВЕРХНИЙ</w:t>
      </w:r>
    </w:p>
    <w:p>
      <w:pPr>
        <w:pStyle w:val="Compact"/>
        <w:numPr>
          <w:ilvl w:val="0"/>
          <w:numId w:val="1001"/>
        </w:numPr>
      </w:pPr>
      <w:r>
        <w:t xml:space="preserve">без пробелов, дефисов, точек</w:t>
      </w:r>
    </w:p>
    <w:p>
      <w:pPr>
        <w:pStyle w:val="Compact"/>
        <w:numPr>
          <w:ilvl w:val="0"/>
          <w:numId w:val="1001"/>
        </w:numPr>
      </w:pPr>
      <w:r>
        <w:t xml:space="preserve">каждый LOT уникален — два разных компонента не могут иметь одинаковое имя</w:t>
      </w:r>
    </w:p>
    <w:bookmarkStart w:id="11" w:name="dkc-контроллерная-полка"/>
    <w:p>
      <w:pPr>
        <w:pStyle w:val="Heading3"/>
      </w:pPr>
      <w:r>
        <w:t xml:space="preserve">DKC — контроллерная полка</w:t>
      </w:r>
    </w:p>
    <w:p>
      <w:pPr>
        <w:pStyle w:val="FirstParagraph"/>
      </w:pPr>
      <w:r>
        <w:t xml:space="preserve">Специфика:</w:t>
      </w:r>
      <w:r>
        <w:t xml:space="preserve"> </w:t>
      </w:r>
      <w:r>
        <w:rPr>
          <w:rStyle w:val="VerbatimChar"/>
        </w:rPr>
        <w:t xml:space="preserve">ТИПДИСКА_СЛОТЫ_NCTRL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Пример</w:t>
            </w:r>
          </w:p>
        </w:tc>
        <w:tc>
          <w:tcPr/>
          <w:p>
            <w:pPr>
              <w:pStyle w:val="Compact"/>
            </w:pPr>
            <w:r>
              <w:t xml:space="preserve">Расшифровка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DKC_DE4000H_SFF_24_2CTRL</w:t>
            </w:r>
          </w:p>
        </w:tc>
        <w:tc>
          <w:tcPr/>
          <w:p>
            <w:pPr>
              <w:pStyle w:val="Compact"/>
            </w:pPr>
            <w:r>
              <w:t xml:space="preserve">DE4000H, 24 слота SFF (2.5”), 2 контроллера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DKC_DE4000H_LFF_12_2CTRL</w:t>
            </w:r>
          </w:p>
        </w:tc>
        <w:tc>
          <w:tcPr/>
          <w:p>
            <w:pPr>
              <w:pStyle w:val="Compact"/>
            </w:pPr>
            <w:r>
              <w:t xml:space="preserve">DE4000H, 12 слотов LFF (3.5”), 2 контроллера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DKC_DE4000H_SFF_24_1CTRL</w:t>
            </w:r>
          </w:p>
        </w:tc>
        <w:tc>
          <w:tcPr/>
          <w:p>
            <w:pPr>
              <w:pStyle w:val="Compact"/>
            </w:pPr>
            <w:r>
              <w:t xml:space="preserve">DE4000H, 24 слота SFF, 1 контроллер (симплекс)</w:t>
            </w:r>
          </w:p>
        </w:tc>
      </w:tr>
    </w:tbl>
    <w:p>
      <w:pPr>
        <w:pStyle w:val="BodyText"/>
      </w:pPr>
      <w:r>
        <w:t xml:space="preserve">Обозначения типа диска:</w:t>
      </w:r>
      <w:r>
        <w:t xml:space="preserve"> </w:t>
      </w:r>
      <w:r>
        <w:rPr>
          <w:rStyle w:val="VerbatimChar"/>
        </w:rPr>
        <w:t xml:space="preserve">SFF</w:t>
      </w:r>
      <w:r>
        <w:t xml:space="preserve"> </w:t>
      </w:r>
      <w:r>
        <w:t xml:space="preserve">— 2.5”,</w:t>
      </w:r>
      <w:r>
        <w:t xml:space="preserve"> </w:t>
      </w:r>
      <w:r>
        <w:rPr>
          <w:rStyle w:val="VerbatimChar"/>
        </w:rPr>
        <w:t xml:space="preserve">LFF</w:t>
      </w:r>
      <w:r>
        <w:t xml:space="preserve"> </w:t>
      </w:r>
      <w:r>
        <w:t xml:space="preserve">— 3.5”,</w:t>
      </w:r>
      <w:r>
        <w:t xml:space="preserve"> </w:t>
      </w:r>
      <w:r>
        <w:rPr>
          <w:rStyle w:val="VerbatimChar"/>
        </w:rPr>
        <w:t xml:space="preserve">NVMe</w:t>
      </w:r>
      <w:r>
        <w:t xml:space="preserve"> </w:t>
      </w:r>
      <w:r>
        <w:t xml:space="preserve">— U.2/U.3.</w:t>
      </w:r>
    </w:p>
    <w:bookmarkEnd w:id="11"/>
    <w:bookmarkStart w:id="12" w:name="ctl-контроллер"/>
    <w:p>
      <w:pPr>
        <w:pStyle w:val="Heading3"/>
      </w:pPr>
      <w:r>
        <w:t xml:space="preserve">CTL — контроллер</w:t>
      </w:r>
    </w:p>
    <w:p>
      <w:pPr>
        <w:pStyle w:val="FirstParagraph"/>
      </w:pPr>
      <w:r>
        <w:t xml:space="preserve">Специфика:</w:t>
      </w:r>
      <w:r>
        <w:t xml:space="preserve"> </w:t>
      </w:r>
      <w:r>
        <w:rPr>
          <w:rStyle w:val="VerbatimChar"/>
        </w:rPr>
        <w:t xml:space="preserve">КЭШГБ_ПОРТЫТИП</w:t>
      </w:r>
      <w:r>
        <w:t xml:space="preserve"> </w:t>
      </w:r>
      <w:r>
        <w:t xml:space="preserve">(если встроенные порты есть) или</w:t>
      </w:r>
      <w:r>
        <w:t xml:space="preserve"> </w:t>
      </w:r>
      <w:r>
        <w:rPr>
          <w:rStyle w:val="VerbatimChar"/>
        </w:rPr>
        <w:t xml:space="preserve">КЭШГБ_BASE</w:t>
      </w:r>
      <w:r>
        <w:t xml:space="preserve"> </w:t>
      </w:r>
      <w:r>
        <w:t xml:space="preserve">(если без портов, добавляются через HIC)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Пример</w:t>
            </w:r>
          </w:p>
        </w:tc>
        <w:tc>
          <w:tcPr/>
          <w:p>
            <w:pPr>
              <w:pStyle w:val="Compact"/>
            </w:pPr>
            <w:r>
              <w:t xml:space="preserve">Расшифровка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CTL_DE4000H_32GB_BASE</w:t>
            </w:r>
          </w:p>
        </w:tc>
        <w:tc>
          <w:tcPr/>
          <w:p>
            <w:pPr>
              <w:pStyle w:val="Compact"/>
            </w:pPr>
            <w:r>
              <w:t xml:space="preserve">32GB кэш, без встроенных хост-портов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CTL_DE4000H_8GB_BASE</w:t>
            </w:r>
          </w:p>
        </w:tc>
        <w:tc>
          <w:tcPr/>
          <w:p>
            <w:pPr>
              <w:pStyle w:val="Compact"/>
            </w:pPr>
            <w:r>
              <w:t xml:space="preserve">8GB кэш, без встроенных хост-портов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CTL_MSA2060_8GB_ISCSI10G_4P</w:t>
            </w:r>
          </w:p>
        </w:tc>
        <w:tc>
          <w:tcPr/>
          <w:p>
            <w:pPr>
              <w:pStyle w:val="Compact"/>
            </w:pPr>
            <w:r>
              <w:t xml:space="preserve">8GB кэш, встроенные 4× iSCSI 10GbE</w:t>
            </w:r>
          </w:p>
        </w:tc>
      </w:tr>
    </w:tbl>
    <w:bookmarkEnd w:id="12"/>
    <w:bookmarkStart w:id="13" w:name="hic-hic-карты-интерфейс-подключения"/>
    <w:p>
      <w:pPr>
        <w:pStyle w:val="Heading3"/>
      </w:pPr>
      <w:r>
        <w:t xml:space="preserve">HIC — HIC-карты (интерфейс подключения)</w:t>
      </w:r>
    </w:p>
    <w:p>
      <w:pPr>
        <w:pStyle w:val="FirstParagraph"/>
      </w:pPr>
      <w:r>
        <w:t xml:space="preserve">Специфика:</w:t>
      </w:r>
      <w:r>
        <w:t xml:space="preserve"> </w:t>
      </w:r>
      <w:r>
        <w:rPr>
          <w:rStyle w:val="VerbatimChar"/>
        </w:rPr>
        <w:t xml:space="preserve">NpПРОТОКОЛ</w:t>
      </w:r>
      <w:r>
        <w:t xml:space="preserve"> </w:t>
      </w:r>
      <w:r>
        <w:t xml:space="preserve">— без привязки к модели СХД, по аналогии с серверными</w:t>
      </w:r>
      <w:r>
        <w:t xml:space="preserve"> </w:t>
      </w:r>
      <w:r>
        <w:rPr>
          <w:rStyle w:val="VerbatimChar"/>
        </w:rPr>
        <w:t xml:space="preserve">HBA_2pFC16</w:t>
      </w:r>
      <w:r>
        <w:t xml:space="preserve">,</w:t>
      </w:r>
      <w:r>
        <w:t xml:space="preserve"> </w:t>
      </w:r>
      <w:r>
        <w:rPr>
          <w:rStyle w:val="VerbatimChar"/>
        </w:rPr>
        <w:t xml:space="preserve">HBA_4pFC32_Gen6</w:t>
      </w:r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Пример</w:t>
            </w:r>
          </w:p>
        </w:tc>
        <w:tc>
          <w:tcPr/>
          <w:p>
            <w:pPr>
              <w:pStyle w:val="Compact"/>
            </w:pPr>
            <w:r>
              <w:t xml:space="preserve">Расшифровка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HIC_4pFC32</w:t>
            </w:r>
          </w:p>
        </w:tc>
        <w:tc>
          <w:tcPr/>
          <w:p>
            <w:pPr>
              <w:pStyle w:val="Compact"/>
            </w:pPr>
            <w:r>
              <w:t xml:space="preserve">4 порта FC 32Gb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HIC_4pFC16</w:t>
            </w:r>
          </w:p>
        </w:tc>
        <w:tc>
          <w:tcPr/>
          <w:p>
            <w:pPr>
              <w:pStyle w:val="Compact"/>
            </w:pPr>
            <w:r>
              <w:t xml:space="preserve">4 порта FC 16G/10GbE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HIC_4p25G_iSCSI</w:t>
            </w:r>
          </w:p>
        </w:tc>
        <w:tc>
          <w:tcPr/>
          <w:p>
            <w:pPr>
              <w:pStyle w:val="Compact"/>
            </w:pPr>
            <w:r>
              <w:t xml:space="preserve">4 порта 25G iSCSI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HIC_4p12G_SAS</w:t>
            </w:r>
          </w:p>
        </w:tc>
        <w:tc>
          <w:tcPr/>
          <w:p>
            <w:pPr>
              <w:pStyle w:val="Compact"/>
            </w:pPr>
            <w:r>
              <w:t xml:space="preserve">4 порта SAS 12Gb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HIC_2p10G_BaseT</w:t>
            </w:r>
          </w:p>
        </w:tc>
        <w:tc>
          <w:tcPr/>
          <w:p>
            <w:pPr>
              <w:pStyle w:val="Compact"/>
            </w:pPr>
            <w:r>
              <w:t xml:space="preserve">2 порта 10G Base-T</w:t>
            </w:r>
          </w:p>
        </w:tc>
      </w:tr>
    </w:tbl>
    <w:bookmarkEnd w:id="13"/>
    <w:bookmarkStart w:id="14" w:name="hdd-ssd-nvme-диски"/>
    <w:p>
      <w:pPr>
        <w:pStyle w:val="Heading3"/>
      </w:pPr>
      <w:r>
        <w:t xml:space="preserve">HDD / SSD / NVMe — диски</w:t>
      </w:r>
    </w:p>
    <w:p>
      <w:pPr>
        <w:pStyle w:val="FirstParagraph"/>
      </w:pPr>
      <w:r>
        <w:t xml:space="preserve">Диски</w:t>
      </w:r>
      <w:r>
        <w:t xml:space="preserve"> </w:t>
      </w:r>
      <w:r>
        <w:rPr>
          <w:b/>
          <w:bCs/>
        </w:rPr>
        <w:t xml:space="preserve">не привязываются к модели СХД</w:t>
      </w:r>
      <w:r>
        <w:t xml:space="preserve"> </w:t>
      </w:r>
      <w:r>
        <w:t xml:space="preserve">— используются существующие LOT из серверного каталога (</w:t>
      </w:r>
      <w:r>
        <w:rPr>
          <w:rStyle w:val="VerbatimChar"/>
        </w:rPr>
        <w:t xml:space="preserve">HDD_...</w:t>
      </w:r>
      <w:r>
        <w:t xml:space="preserve">,</w:t>
      </w:r>
      <w:r>
        <w:t xml:space="preserve"> </w:t>
      </w:r>
      <w:r>
        <w:rPr>
          <w:rStyle w:val="VerbatimChar"/>
        </w:rPr>
        <w:t xml:space="preserve">SSD_...</w:t>
      </w:r>
      <w:r>
        <w:t xml:space="preserve">,</w:t>
      </w:r>
      <w:r>
        <w:t xml:space="preserve"> </w:t>
      </w:r>
      <w:r>
        <w:rPr>
          <w:rStyle w:val="VerbatimChar"/>
        </w:rPr>
        <w:t xml:space="preserve">NVME_...</w:t>
      </w:r>
      <w:r>
        <w:t xml:space="preserve">). Новые LOT для дисков СХД не создаются; партномера дисков маппируются на уже существующие серверные LOT.</w:t>
      </w:r>
    </w:p>
    <w:bookmarkEnd w:id="14"/>
    <w:bookmarkStart w:id="15" w:name="acc-кабели"/>
    <w:p>
      <w:pPr>
        <w:pStyle w:val="Heading3"/>
      </w:pPr>
      <w:r>
        <w:t xml:space="preserve">ACC — кабели</w:t>
      </w:r>
    </w:p>
    <w:p>
      <w:pPr>
        <w:pStyle w:val="FirstParagraph"/>
      </w:pPr>
      <w:r>
        <w:t xml:space="preserve">Кабели</w:t>
      </w:r>
      <w:r>
        <w:t xml:space="preserve"> </w:t>
      </w:r>
      <w:r>
        <w:rPr>
          <w:b/>
          <w:bCs/>
        </w:rPr>
        <w:t xml:space="preserve">не привязываются к модели СХД</w:t>
      </w:r>
      <w:r>
        <w:t xml:space="preserve">. Формат:</w:t>
      </w:r>
      <w:r>
        <w:t xml:space="preserve"> </w:t>
      </w:r>
      <w:r>
        <w:rPr>
          <w:rStyle w:val="VerbatimChar"/>
        </w:rPr>
        <w:t xml:space="preserve">ACC_CABLE_{ТИП}_{ДЛИНА}</w:t>
      </w:r>
      <w:r>
        <w:t xml:space="preserve"> </w:t>
      </w:r>
      <w:r>
        <w:t xml:space="preserve">— универсальные LOT, одинаковые для серверов и СХД.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Пример</w:t>
            </w:r>
          </w:p>
        </w:tc>
        <w:tc>
          <w:tcPr/>
          <w:p>
            <w:pPr>
              <w:pStyle w:val="Compact"/>
            </w:pPr>
            <w:r>
              <w:t xml:space="preserve">Расшифровка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ACC_CABLE_CAT6_10M</w:t>
            </w:r>
          </w:p>
        </w:tc>
        <w:tc>
          <w:tcPr/>
          <w:p>
            <w:pPr>
              <w:pStyle w:val="Compact"/>
            </w:pPr>
            <w:r>
              <w:t xml:space="preserve">Кабель CAT6 10м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ACC_CABLE_FC_OM4_3M</w:t>
            </w:r>
          </w:p>
        </w:tc>
        <w:tc>
          <w:tcPr/>
          <w:p>
            <w:pPr>
              <w:pStyle w:val="Compact"/>
            </w:pPr>
            <w:r>
              <w:t xml:space="preserve">Кабель FC LC-LC OM4 до 3м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ACC_CABLE_PWR_C13C14_15M</w:t>
            </w:r>
          </w:p>
        </w:tc>
        <w:tc>
          <w:tcPr/>
          <w:p>
            <w:pPr>
              <w:pStyle w:val="Compact"/>
            </w:pPr>
            <w:r>
              <w:t xml:space="preserve">Кабель питания C13–C14 1.5м</w:t>
            </w:r>
          </w:p>
        </w:tc>
      </w:tr>
    </w:tbl>
    <w:bookmarkEnd w:id="15"/>
    <w:bookmarkStart w:id="16" w:name="sw-программные-лицензии"/>
    <w:p>
      <w:pPr>
        <w:pStyle w:val="Heading3"/>
      </w:pPr>
      <w:r>
        <w:t xml:space="preserve">SW — программные лицензии</w:t>
      </w:r>
    </w:p>
    <w:p>
      <w:pPr>
        <w:pStyle w:val="FirstParagraph"/>
      </w:pPr>
      <w:r>
        <w:t xml:space="preserve">Специфика: краткое название функции.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Пример</w:t>
            </w:r>
          </w:p>
        </w:tc>
        <w:tc>
          <w:tcPr/>
          <w:p>
            <w:pPr>
              <w:pStyle w:val="Compact"/>
            </w:pPr>
            <w:r>
              <w:t xml:space="preserve">Расшифровка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SW_DE4000H_ASYNC_MIRROR</w:t>
            </w:r>
          </w:p>
        </w:tc>
        <w:tc>
          <w:tcPr/>
          <w:p>
            <w:pPr>
              <w:pStyle w:val="Compact"/>
            </w:pPr>
            <w:r>
              <w:t xml:space="preserve">Async Mirroring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SW_DE4000H_SNAPSHOT_512</w:t>
            </w:r>
          </w:p>
        </w:tc>
        <w:tc>
          <w:tcPr/>
          <w:p>
            <w:pPr>
              <w:pStyle w:val="Compact"/>
            </w:pPr>
            <w:r>
              <w:t xml:space="preserve">Snapshot 512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23" w:name="таблица-лотов-de4000h-пример-заполнения"/>
    <w:p>
      <w:pPr>
        <w:pStyle w:val="Heading2"/>
      </w:pPr>
      <w:r>
        <w:t xml:space="preserve">Таблица лотов: DE4000H (пример заполнения)</w:t>
      </w:r>
    </w:p>
    <w:bookmarkStart w:id="18" w:name="dkc-контроллерная-полка-1"/>
    <w:p>
      <w:pPr>
        <w:pStyle w:val="Heading3"/>
      </w:pPr>
      <w:r>
        <w:t xml:space="preserve">DKC — контроллерная полка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lot_name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disk_slots</w:t>
            </w:r>
          </w:p>
        </w:tc>
        <w:tc>
          <w:tcPr/>
          <w:p>
            <w:pPr>
              <w:pStyle w:val="Compact"/>
            </w:pPr>
            <w:r>
              <w:t xml:space="preserve">disk_type</w:t>
            </w:r>
          </w:p>
        </w:tc>
        <w:tc>
          <w:tcPr/>
          <w:p>
            <w:pPr>
              <w:pStyle w:val="Compact"/>
            </w:pPr>
            <w:r>
              <w:t xml:space="preserve">controllers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DKC_DE4000H_SFF_24_2CTRL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DE4000H 2U24</w:t>
            </w:r>
          </w:p>
        </w:tc>
        <w:tc>
          <w:tcPr/>
          <w:p>
            <w:pPr>
              <w:pStyle w:val="Compact"/>
            </w:pPr>
            <w:r>
              <w:t xml:space="preserve">DE4000H, 24× SFF, 2 контроллера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SFF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DKC_DE4000H_LFF_12_2CTRL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DE4000H 2U12</w:t>
            </w:r>
          </w:p>
        </w:tc>
        <w:tc>
          <w:tcPr/>
          <w:p>
            <w:pPr>
              <w:pStyle w:val="Compact"/>
            </w:pPr>
            <w:r>
              <w:t xml:space="preserve">DE4000H, 12× LFF, 2 контроллера</w:t>
            </w:r>
          </w:p>
        </w:tc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LFF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</w:tr>
    </w:tbl>
    <w:bookmarkEnd w:id="18"/>
    <w:bookmarkStart w:id="19" w:name="ctl-контроллер-1"/>
    <w:p>
      <w:pPr>
        <w:pStyle w:val="Heading3"/>
      </w:pPr>
      <w:r>
        <w:t xml:space="preserve">CTL — контроллер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lot_name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cache_gb</w:t>
            </w:r>
          </w:p>
        </w:tc>
        <w:tc>
          <w:tcPr/>
          <w:p>
            <w:pPr>
              <w:pStyle w:val="Compact"/>
            </w:pPr>
            <w:r>
              <w:t xml:space="preserve">host_ports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CTL_DE4000H_32GB_BASE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 Controller 32GB Gen2</w:t>
            </w:r>
          </w:p>
        </w:tc>
        <w:tc>
          <w:tcPr/>
          <w:p>
            <w:pPr>
              <w:pStyle w:val="Compact"/>
            </w:pPr>
            <w:r>
              <w:t xml:space="preserve">Контроллер DE4000, 32GB кэш, без встроенных портов</w:t>
            </w:r>
          </w:p>
        </w:tc>
        <w:tc>
          <w:tcPr/>
          <w:p>
            <w:pPr>
              <w:pStyle w:val="Compact"/>
            </w:pPr>
            <w:r>
              <w:t xml:space="preserve">32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CTL_DE4000H_8GB_BASE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 Controller 8GB Gen2</w:t>
            </w:r>
          </w:p>
        </w:tc>
        <w:tc>
          <w:tcPr/>
          <w:p>
            <w:pPr>
              <w:pStyle w:val="Compact"/>
            </w:pPr>
            <w:r>
              <w:t xml:space="preserve">Контроллер DE4000, 8GB кэш, без встроенных портов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bookmarkEnd w:id="19"/>
    <w:bookmarkStart w:id="20" w:name="hic-hic-карты"/>
    <w:p>
      <w:pPr>
        <w:pStyle w:val="Heading3"/>
      </w:pPr>
      <w:r>
        <w:t xml:space="preserve">HIC — HIC-карты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lot_name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HIC_2p10G_BaseT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HIC 10GBASE-T 2-Ports</w:t>
            </w:r>
          </w:p>
        </w:tc>
        <w:tc>
          <w:tcPr/>
          <w:p>
            <w:pPr>
              <w:pStyle w:val="Compact"/>
            </w:pPr>
            <w:r>
              <w:t xml:space="preserve">HIC 10GBASE-T, 2 порта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HIC_4p25G_iSCSI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HIC 10/25GbE iSCSI 4-ports</w:t>
            </w:r>
          </w:p>
        </w:tc>
        <w:tc>
          <w:tcPr/>
          <w:p>
            <w:pPr>
              <w:pStyle w:val="Compact"/>
            </w:pPr>
            <w:r>
              <w:t xml:space="preserve">HIC iSCSI 10/25GbE, 4 порта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HIC_4p12G_SAS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HIC 12Gb SAS 4-ports</w:t>
            </w:r>
          </w:p>
        </w:tc>
        <w:tc>
          <w:tcPr/>
          <w:p>
            <w:pPr>
              <w:pStyle w:val="Compact"/>
            </w:pPr>
            <w:r>
              <w:t xml:space="preserve">HIC SAS 12Gb, 4 порта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HIC_4pFC32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HIC 32Gb FC 4-ports</w:t>
            </w:r>
          </w:p>
        </w:tc>
        <w:tc>
          <w:tcPr/>
          <w:p>
            <w:pPr>
              <w:pStyle w:val="Compact"/>
            </w:pPr>
            <w:r>
              <w:t xml:space="preserve">HIC FC 32Gb, 4 порта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HIC_4pFC16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HIC 16G FC/10GbE 4-ports</w:t>
            </w:r>
          </w:p>
        </w:tc>
        <w:tc>
          <w:tcPr/>
          <w:p>
            <w:pPr>
              <w:pStyle w:val="Compact"/>
            </w:pPr>
            <w:r>
              <w:t xml:space="preserve">HIC FC 16G/10GbE, 4 порта</w:t>
            </w:r>
          </w:p>
        </w:tc>
      </w:tr>
    </w:tbl>
    <w:bookmarkEnd w:id="20"/>
    <w:bookmarkStart w:id="21" w:name="hdd-ssd-nvme-acc-диски-и-кабели"/>
    <w:p>
      <w:pPr>
        <w:pStyle w:val="Heading3"/>
      </w:pPr>
      <w:r>
        <w:t xml:space="preserve">HDD / SSD / NVMe / ACC — диски и кабели</w:t>
      </w:r>
    </w:p>
    <w:p>
      <w:pPr>
        <w:pStyle w:val="FirstParagraph"/>
      </w:pPr>
      <w:r>
        <w:t xml:space="preserve">Для дисков и кабелей новые LOT не создаются. Партномера маппируются на существующие серверные LOT из каталога.</w:t>
      </w:r>
    </w:p>
    <w:bookmarkEnd w:id="21"/>
    <w:bookmarkStart w:id="22" w:name="sw-программные-лицензии-1"/>
    <w:p>
      <w:pPr>
        <w:pStyle w:val="Heading3"/>
      </w:pPr>
      <w:r>
        <w:t xml:space="preserve">SW — программные лицензии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lot_name</w:t>
            </w:r>
          </w:p>
        </w:tc>
        <w:tc>
          <w:tcPr/>
          <w:p>
            <w:pPr>
              <w:pStyle w:val="Compact"/>
            </w:pPr>
            <w:r>
              <w:t xml:space="preserve">vendor</w:t>
            </w:r>
          </w:p>
        </w:tc>
        <w:tc>
          <w:tcPr/>
          <w:p>
            <w:pPr>
              <w:pStyle w:val="Compact"/>
            </w:pPr>
            <w:r>
              <w:t xml:space="preserve">model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SW_DE4000H_ASYNC_MIRROR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DE4000H Asynchronous Mirroring</w:t>
            </w:r>
          </w:p>
        </w:tc>
        <w:tc>
          <w:tcPr/>
          <w:p>
            <w:pPr>
              <w:pStyle w:val="Compact"/>
            </w:pPr>
            <w:r>
              <w:t xml:space="preserve">Лицензия Async Mirroring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SW_DE4000H_SNAPSHOT_512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DE4000H Snapshot Upgrade 512</w:t>
            </w:r>
          </w:p>
        </w:tc>
        <w:tc>
          <w:tcPr/>
          <w:p>
            <w:pPr>
              <w:pStyle w:val="Compact"/>
            </w:pPr>
            <w:r>
              <w:t xml:space="preserve">Лицензия Snapshot 512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SW_DE4000H_SYNC_MIRROR</w:t>
            </w:r>
          </w:p>
        </w:tc>
        <w:tc>
          <w:tcPr/>
          <w:p>
            <w:pPr>
              <w:pStyle w:val="Compact"/>
            </w:pPr>
            <w:r>
              <w:t xml:space="preserve">Lenovo</w:t>
            </w:r>
          </w:p>
        </w:tc>
        <w:tc>
          <w:tcPr/>
          <w:p>
            <w:pPr>
              <w:pStyle w:val="Compact"/>
            </w:pPr>
            <w:r>
              <w:t xml:space="preserve">DE4000 Synchronous Mirroring</w:t>
            </w:r>
          </w:p>
        </w:tc>
        <w:tc>
          <w:tcPr/>
          <w:p>
            <w:pPr>
              <w:pStyle w:val="Compact"/>
            </w:pPr>
            <w:r>
              <w:t xml:space="preserve">Лицензия Sync Mirroring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4" w:name="X457207fc37eae24090118d8a727f3a5d37429d0"/>
    <w:p>
      <w:pPr>
        <w:pStyle w:val="Heading2"/>
      </w:pPr>
      <w:r>
        <w:t xml:space="preserve">Таблица партномеров: DE4000H (пример заполнения)</w:t>
      </w:r>
    </w:p>
    <w:p>
      <w:pPr>
        <w:pStyle w:val="FirstParagraph"/>
      </w:pPr>
      <w:r>
        <w:t xml:space="preserve">Каждый Feature Code и Part Number должен быть привязан к своему LOT.</w:t>
      </w:r>
      <w:r>
        <w:t xml:space="preserve"> </w:t>
      </w:r>
      <w:r>
        <w:t xml:space="preserve">Если у компонента есть оба — добавить две строки.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partnumber</w:t>
            </w:r>
          </w:p>
        </w:tc>
        <w:tc>
          <w:tcPr/>
          <w:p>
            <w:pPr>
              <w:pStyle w:val="Compact"/>
            </w:pPr>
            <w:r>
              <w:t xml:space="preserve">lot_name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BEY7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ENC_2U24_CHASSIS</w:t>
            </w:r>
          </w:p>
        </w:tc>
        <w:tc>
          <w:tcPr/>
          <w:p>
            <w:pPr>
              <w:pStyle w:val="Compact"/>
            </w:pPr>
            <w:r>
              <w:t xml:space="preserve">Lenovo ThinkSystem Storage 2U24 Chassis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BQA0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CTL_DE4000H_32GB_BASE</w:t>
            </w:r>
          </w:p>
        </w:tc>
        <w:tc>
          <w:tcPr/>
          <w:p>
            <w:pPr>
              <w:pStyle w:val="Compact"/>
            </w:pPr>
            <w:r>
              <w:t xml:space="preserve">DE4000 Controller 32GB Gen2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BQ9Z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CTL_DE4000H_8GB_BASE</w:t>
            </w:r>
          </w:p>
        </w:tc>
        <w:tc>
          <w:tcPr/>
          <w:p>
            <w:pPr>
              <w:pStyle w:val="Compact"/>
            </w:pPr>
            <w:r>
              <w:t xml:space="preserve">DE4000 Controller 8GB Gen2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B4B1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HIC_2p10G_BaseT</w:t>
            </w:r>
          </w:p>
        </w:tc>
        <w:tc>
          <w:tcPr/>
          <w:p>
            <w:pPr>
              <w:pStyle w:val="Compact"/>
            </w:pPr>
            <w:r>
              <w:t xml:space="preserve">HIC 10GBASE-T 2-Ports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4C57A14376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HIC_2p10G_BaseT</w:t>
            </w:r>
          </w:p>
        </w:tc>
        <w:tc>
          <w:tcPr/>
          <w:p>
            <w:pPr>
              <w:pStyle w:val="Compact"/>
            </w:pPr>
            <w:r>
              <w:t xml:space="preserve">HIC 10GBASE-T 2-Ports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B4BA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HIC_4p25G_iSCSI</w:t>
            </w:r>
          </w:p>
        </w:tc>
        <w:tc>
          <w:tcPr/>
          <w:p>
            <w:pPr>
              <w:pStyle w:val="Compact"/>
            </w:pPr>
            <w:r>
              <w:t xml:space="preserve">HIC 10/25GbE iSCSI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4C57A14369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HIC_4p25G_iSCSI</w:t>
            </w:r>
          </w:p>
        </w:tc>
        <w:tc>
          <w:tcPr/>
          <w:p>
            <w:pPr>
              <w:pStyle w:val="Compact"/>
            </w:pPr>
            <w:r>
              <w:t xml:space="preserve">HIC 10/25GbE iSCSI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B4B8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HIC_4p12G_SAS</w:t>
            </w:r>
          </w:p>
        </w:tc>
        <w:tc>
          <w:tcPr/>
          <w:p>
            <w:pPr>
              <w:pStyle w:val="Compact"/>
            </w:pPr>
            <w:r>
              <w:t xml:space="preserve">HIC 12Gb SAS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4C57A14367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HIC_4p12G_SAS</w:t>
            </w:r>
          </w:p>
        </w:tc>
        <w:tc>
          <w:tcPr/>
          <w:p>
            <w:pPr>
              <w:pStyle w:val="Compact"/>
            </w:pPr>
            <w:r>
              <w:t xml:space="preserve">HIC 12Gb SAS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B4B9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HIC_4pFC32</w:t>
            </w:r>
          </w:p>
        </w:tc>
        <w:tc>
          <w:tcPr/>
          <w:p>
            <w:pPr>
              <w:pStyle w:val="Compact"/>
            </w:pPr>
            <w:r>
              <w:t xml:space="preserve">HIC 32Gb FC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4C57A14368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HIC_4pFC32</w:t>
            </w:r>
          </w:p>
        </w:tc>
        <w:tc>
          <w:tcPr/>
          <w:p>
            <w:pPr>
              <w:pStyle w:val="Compact"/>
            </w:pPr>
            <w:r>
              <w:t xml:space="preserve">HIC 32Gb FC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B4B7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HIC_4pFC16</w:t>
            </w:r>
          </w:p>
        </w:tc>
        <w:tc>
          <w:tcPr/>
          <w:p>
            <w:pPr>
              <w:pStyle w:val="Compact"/>
            </w:pPr>
            <w:r>
              <w:t xml:space="preserve">HIC 16G FC/10GbE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4C57A14366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HIC_4pFC16</w:t>
            </w:r>
          </w:p>
        </w:tc>
        <w:tc>
          <w:tcPr/>
          <w:p>
            <w:pPr>
              <w:pStyle w:val="Compact"/>
            </w:pPr>
            <w:r>
              <w:t xml:space="preserve">HIC 16G FC/10GbE 4-ports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BW12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HDD_SAS_02.4TB</w:t>
            </w:r>
          </w:p>
        </w:tc>
        <w:tc>
          <w:tcPr/>
          <w:p>
            <w:pPr>
              <w:pStyle w:val="Compact"/>
            </w:pPr>
            <w:r>
              <w:t xml:space="preserve">2.4TB 10K 2.5” HDD 2U24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4XB7A88046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HDD_SAS_02.4TB</w:t>
            </w:r>
          </w:p>
        </w:tc>
        <w:tc>
          <w:tcPr/>
          <w:p>
            <w:pPr>
              <w:pStyle w:val="Compact"/>
            </w:pPr>
            <w:r>
              <w:t xml:space="preserve">2.4TB 10K 2.5” HDD 2U24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B4C0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HDD_SAS_01.8TB</w:t>
            </w:r>
          </w:p>
        </w:tc>
        <w:tc>
          <w:tcPr/>
          <w:p>
            <w:pPr>
              <w:pStyle w:val="Compact"/>
            </w:pPr>
            <w:r>
              <w:t xml:space="preserve">1.8TB 10K 2.5” HDD SED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4XB7A14114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HDD_SAS_01.8TB</w:t>
            </w:r>
          </w:p>
        </w:tc>
        <w:tc>
          <w:tcPr/>
          <w:p>
            <w:pPr>
              <w:pStyle w:val="Compact"/>
            </w:pPr>
            <w:r>
              <w:t xml:space="preserve">1.8TB 10K 2.5” HDD SED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BW13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HDD_SAS_02.4TB</w:t>
            </w:r>
          </w:p>
        </w:tc>
        <w:tc>
          <w:tcPr/>
          <w:p>
            <w:pPr>
              <w:pStyle w:val="Compact"/>
            </w:pPr>
            <w:r>
              <w:t xml:space="preserve">2.4TB 10K 2.5” HDD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4XB7A88048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HDD_SAS_02.4TB</w:t>
            </w:r>
          </w:p>
        </w:tc>
        <w:tc>
          <w:tcPr/>
          <w:p>
            <w:pPr>
              <w:pStyle w:val="Compact"/>
            </w:pPr>
            <w:r>
              <w:t xml:space="preserve">2.4TB 10K 2.5” HDD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BKUQ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SSD_SAS_0.960T</w:t>
            </w:r>
          </w:p>
        </w:tc>
        <w:tc>
          <w:tcPr/>
          <w:p>
            <w:pPr>
              <w:pStyle w:val="Compact"/>
            </w:pPr>
            <w:r>
              <w:t xml:space="preserve">960GB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4XB7A74948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SSD_SAS_0.960T</w:t>
            </w:r>
          </w:p>
        </w:tc>
        <w:tc>
          <w:tcPr/>
          <w:p>
            <w:pPr>
              <w:pStyle w:val="Compact"/>
            </w:pPr>
            <w:r>
              <w:t xml:space="preserve">960GB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BKUT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SSD_SAS_01.92T</w:t>
            </w:r>
          </w:p>
        </w:tc>
        <w:tc>
          <w:tcPr/>
          <w:p>
            <w:pPr>
              <w:pStyle w:val="Compact"/>
            </w:pPr>
            <w:r>
              <w:t xml:space="preserve">1.92TB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4XB7A74951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SSD_SAS_01.92T</w:t>
            </w:r>
          </w:p>
        </w:tc>
        <w:tc>
          <w:tcPr/>
          <w:p>
            <w:pPr>
              <w:pStyle w:val="Compact"/>
            </w:pPr>
            <w:r>
              <w:t xml:space="preserve">1.92TB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BKUK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SSD_SAS_03.84T</w:t>
            </w:r>
          </w:p>
        </w:tc>
        <w:tc>
          <w:tcPr/>
          <w:p>
            <w:pPr>
              <w:pStyle w:val="Compact"/>
            </w:pPr>
            <w:r>
              <w:t xml:space="preserve">3.84TB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4XB7A74955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SSD_SAS_03.84T</w:t>
            </w:r>
          </w:p>
        </w:tc>
        <w:tc>
          <w:tcPr/>
          <w:p>
            <w:pPr>
              <w:pStyle w:val="Compact"/>
            </w:pPr>
            <w:r>
              <w:t xml:space="preserve">3.84TB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SSD_SAS_07.68T</w:t>
            </w:r>
          </w:p>
        </w:tc>
        <w:tc>
          <w:tcPr/>
          <w:p>
            <w:pPr>
              <w:pStyle w:val="Compact"/>
            </w:pPr>
            <w:r>
              <w:t xml:space="preserve">7.68TB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4XB7A14176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SSD_SAS_07.68T</w:t>
            </w:r>
          </w:p>
        </w:tc>
        <w:tc>
          <w:tcPr/>
          <w:p>
            <w:pPr>
              <w:pStyle w:val="Compact"/>
            </w:pPr>
            <w:r>
              <w:t xml:space="preserve">7.68TB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B4CD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SSD_SAS_15.36T</w:t>
            </w:r>
          </w:p>
        </w:tc>
        <w:tc>
          <w:tcPr/>
          <w:p>
            <w:pPr>
              <w:pStyle w:val="Compact"/>
            </w:pPr>
            <w:r>
              <w:t xml:space="preserve">15.36TB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4XB7A14110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SSD_SAS_15.36T</w:t>
            </w:r>
          </w:p>
        </w:tc>
        <w:tc>
          <w:tcPr/>
          <w:p>
            <w:pPr>
              <w:pStyle w:val="Compact"/>
            </w:pPr>
            <w:r>
              <w:t xml:space="preserve">15.36TB 1DWD 2.5” SSD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BWCJ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SSD_SAS_03.84T</w:t>
            </w:r>
          </w:p>
        </w:tc>
        <w:tc>
          <w:tcPr/>
          <w:p>
            <w:pPr>
              <w:pStyle w:val="Compact"/>
            </w:pPr>
            <w:r>
              <w:t xml:space="preserve">3.84TB 1DWD 2.5” SSD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4XB7A88469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SSD_SAS_03.84T</w:t>
            </w:r>
          </w:p>
        </w:tc>
        <w:tc>
          <w:tcPr/>
          <w:p>
            <w:pPr>
              <w:pStyle w:val="Compact"/>
            </w:pPr>
            <w:r>
              <w:t xml:space="preserve">3.84TB 1DWD 2.5” SSD FIPS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BW2B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SSD_SAS_15.36T</w:t>
            </w:r>
          </w:p>
        </w:tc>
        <w:tc>
          <w:tcPr/>
          <w:p>
            <w:pPr>
              <w:pStyle w:val="Compact"/>
            </w:pPr>
            <w:r>
              <w:t xml:space="preserve">15.36TB 1DWD 2.5” SSD 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4XB7A88466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SSD_SAS_15.36T</w:t>
            </w:r>
          </w:p>
        </w:tc>
        <w:tc>
          <w:tcPr/>
          <w:p>
            <w:pPr>
              <w:pStyle w:val="Compact"/>
            </w:pPr>
            <w:r>
              <w:t xml:space="preserve">15.36TB 1DWD 2.5” SSD SED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AVFW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ACC_CABLE_CAT6_1M</w:t>
            </w:r>
          </w:p>
        </w:tc>
        <w:tc>
          <w:tcPr/>
          <w:p>
            <w:pPr>
              <w:pStyle w:val="Compact"/>
            </w:pPr>
            <w:r>
              <w:t xml:space="preserve">CAT6 0.75-1.5m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A1MT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ACC_CABLE_CAT6_10M</w:t>
            </w:r>
          </w:p>
        </w:tc>
        <w:tc>
          <w:tcPr/>
          <w:p>
            <w:pPr>
              <w:pStyle w:val="Compact"/>
            </w:pPr>
            <w:r>
              <w:t xml:space="preserve">CAT6 10m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90Y3718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ACC_CABLE_CAT6_10M</w:t>
            </w:r>
          </w:p>
        </w:tc>
        <w:tc>
          <w:tcPr/>
          <w:p>
            <w:pPr>
              <w:pStyle w:val="Compact"/>
            </w:pPr>
            <w:r>
              <w:t xml:space="preserve">CAT6 10m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A1MW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ACC_CABLE_CAT6_25M</w:t>
            </w:r>
          </w:p>
        </w:tc>
        <w:tc>
          <w:tcPr/>
          <w:p>
            <w:pPr>
              <w:pStyle w:val="Compact"/>
            </w:pPr>
            <w:r>
              <w:t xml:space="preserve">CAT6 25m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90Y3727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ACC_CABLE_CAT6_25M</w:t>
            </w:r>
          </w:p>
        </w:tc>
        <w:tc>
          <w:tcPr/>
          <w:p>
            <w:pPr>
              <w:pStyle w:val="Compact"/>
            </w:pPr>
            <w:r>
              <w:t xml:space="preserve">CAT6 25m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39Y7937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ACC_CABLE_PWR_C13C14_15M</w:t>
            </w:r>
          </w:p>
        </w:tc>
        <w:tc>
          <w:tcPr/>
          <w:p>
            <w:pPr>
              <w:pStyle w:val="Compact"/>
            </w:pPr>
            <w:r>
              <w:t xml:space="preserve">C13–C14 1.5m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39Y7938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ACC_CABLE_PWR_C13C20_28M</w:t>
            </w:r>
          </w:p>
        </w:tc>
        <w:tc>
          <w:tcPr/>
          <w:p>
            <w:pPr>
              <w:pStyle w:val="Compact"/>
            </w:pPr>
            <w:r>
              <w:t xml:space="preserve">C13–C20 2.8m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4L67A08371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ACC_CABLE_PWR_C13C14_43M</w:t>
            </w:r>
          </w:p>
        </w:tc>
        <w:tc>
          <w:tcPr/>
          <w:p>
            <w:pPr>
              <w:pStyle w:val="Compact"/>
            </w:pPr>
            <w:r>
              <w:t xml:space="preserve">C13–C14 4.3m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C932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SW_DE4000H_ASYNC_MIRROR</w:t>
            </w:r>
          </w:p>
        </w:tc>
        <w:tc>
          <w:tcPr/>
          <w:p>
            <w:pPr>
              <w:pStyle w:val="Compact"/>
            </w:pPr>
            <w:r>
              <w:t xml:space="preserve">DE4000H Asynchronous Mirroring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00WE123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SW_DE4000H_ASYNC_MIRROR</w:t>
            </w:r>
          </w:p>
        </w:tc>
        <w:tc>
          <w:tcPr/>
          <w:p>
            <w:pPr>
              <w:pStyle w:val="Compact"/>
            </w:pPr>
            <w:r>
              <w:t xml:space="preserve">DE4000H Asynchronous Mirroring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C930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SW_DE4000H_SNAPSHOT_512</w:t>
            </w:r>
          </w:p>
        </w:tc>
        <w:tc>
          <w:tcPr/>
          <w:p>
            <w:pPr>
              <w:pStyle w:val="Compact"/>
            </w:pPr>
            <w:r>
              <w:t xml:space="preserve">DE4000H Snapshot Upgrade 512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C931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SW_DE4000H_SYNC_MIRROR</w:t>
            </w:r>
          </w:p>
        </w:tc>
        <w:tc>
          <w:tcPr/>
          <w:p>
            <w:pPr>
              <w:pStyle w:val="Compact"/>
            </w:pPr>
            <w:r>
              <w:t xml:space="preserve">DE4000 Synchronous Mirroring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шаблон-для-новых-моделей-схд"/>
    <w:p>
      <w:pPr>
        <w:pStyle w:val="Heading2"/>
      </w:pPr>
      <w:r>
        <w:t xml:space="preserve">Шаблон для новых моделей СХД</w:t>
      </w:r>
    </w:p>
    <w:p>
      <w:pPr>
        <w:pStyle w:val="SourceCode"/>
      </w:pPr>
      <w:r>
        <w:rPr>
          <w:rStyle w:val="VerbatimChar"/>
        </w:rPr>
        <w:t xml:space="preserve">DKC_МОДЕЛЬ_ТИПДИСКА_СЛОТЫ_NCTRL   — контроллерная полка</w:t>
      </w:r>
      <w:r>
        <w:br/>
      </w:r>
      <w:r>
        <w:rPr>
          <w:rStyle w:val="VerbatimChar"/>
        </w:rPr>
        <w:t xml:space="preserve">CTL_МОДЕЛЬ_КЭШГБ_ПОРТЫ            — контроллер</w:t>
      </w:r>
      <w:r>
        <w:br/>
      </w:r>
      <w:r>
        <w:rPr>
          <w:rStyle w:val="VerbatimChar"/>
        </w:rPr>
        <w:t xml:space="preserve">HIC_МОДЕЛЬ_ПРОТОКОЛ_СКОРОСТЬ_ПОРТЫ — HIC-карта (интерфейс подключения)</w:t>
      </w:r>
      <w:r>
        <w:br/>
      </w:r>
      <w:r>
        <w:rPr>
          <w:rStyle w:val="VerbatimChar"/>
        </w:rPr>
        <w:t xml:space="preserve">SW_МОДЕЛЬ_ФУНКЦИЯ                 — лицензия</w:t>
      </w:r>
    </w:p>
    <w:p>
      <w:pPr>
        <w:pStyle w:val="FirstParagraph"/>
      </w:pPr>
      <w:r>
        <w:t xml:space="preserve">Диски (HDD/SSD/NVMe) и кабели (ACC) — маппируются на существующие серверные LOT, новые не создаются.</w:t>
      </w:r>
    </w:p>
    <w:p>
      <w:pPr>
        <w:pStyle w:val="BodyText"/>
      </w:pPr>
      <w:r>
        <w:t xml:space="preserve">Пример для HPE MSA 2060:</w:t>
      </w:r>
    </w:p>
    <w:p>
      <w:pPr>
        <w:pStyle w:val="SourceCode"/>
      </w:pPr>
      <w:r>
        <w:rPr>
          <w:rStyle w:val="VerbatimChar"/>
        </w:rPr>
        <w:t xml:space="preserve">DKC_MSA2060_SFF_24_2CTRL</w:t>
      </w:r>
      <w:r>
        <w:br/>
      </w:r>
      <w:r>
        <w:rPr>
          <w:rStyle w:val="VerbatimChar"/>
        </w:rPr>
        <w:t xml:space="preserve">CTL_MSA2060_8GB_ISCSI10G_4P</w:t>
      </w:r>
      <w:r>
        <w:br/>
      </w:r>
      <w:r>
        <w:rPr>
          <w:rStyle w:val="VerbatimChar"/>
        </w:rPr>
        <w:t xml:space="preserve">HIC_MSA2060_FC32G_2P</w:t>
      </w:r>
      <w:r>
        <w:br/>
      </w:r>
      <w:r>
        <w:rPr>
          <w:rStyle w:val="VerbatimChar"/>
        </w:rPr>
        <w:t xml:space="preserve">SW_MSA2060_REMOTE_SNAP</w:t>
      </w:r>
    </w:p>
    <w:bookmarkEnd w:id="25"/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2026-04-08T14:58:18Z</dcterms:created>
  <dcterms:modified xsi:type="dcterms:W3CDTF">2026-04-08T14:58:18Z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